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b w:val="1"/>
          <w:sz w:val="26"/>
          <w:szCs w:val="26"/>
          <w:rtl w:val="0"/>
        </w:rPr>
        <w:t xml:space="preserve">Weekly Fluency Activities</w:t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b w:val="1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b w:val="1"/>
          <w:sz w:val="26"/>
          <w:szCs w:val="26"/>
          <w:rtl w:val="0"/>
        </w:rPr>
        <w:t xml:space="preserve">Week of ___________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1995"/>
        <w:gridCol w:w="2235"/>
        <w:gridCol w:w="2070"/>
        <w:gridCol w:w="2070"/>
        <w:gridCol w:w="2010"/>
        <w:tblGridChange w:id="0">
          <w:tblGrid>
            <w:gridCol w:w="2595"/>
            <w:gridCol w:w="1995"/>
            <w:gridCol w:w="2235"/>
            <w:gridCol w:w="2070"/>
            <w:gridCol w:w="2070"/>
            <w:gridCol w:w="2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Fluency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Necessary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Material Managers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